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-209549</wp:posOffset>
                </wp:positionH>
                <wp:positionV relativeFrom="page">
                  <wp:posOffset>-400049</wp:posOffset>
                </wp:positionV>
                <wp:extent cx="7732395" cy="418846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79803" y="1685770"/>
                          <a:ext cx="7732395" cy="4188460"/>
                          <a:chOff x="1479803" y="1685770"/>
                          <a:chExt cx="7732395" cy="4188460"/>
                        </a:xfrm>
                      </wpg:grpSpPr>
                      <wpg:grpSp>
                        <wpg:cNvGrpSpPr/>
                        <wpg:grpSpPr>
                          <a:xfrm>
                            <a:off x="1479803" y="1685770"/>
                            <a:ext cx="7732395" cy="4188460"/>
                            <a:chOff x="0" y="0"/>
                            <a:chExt cx="12177" cy="644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175" cy="6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2177" cy="6446"/>
                            </a:xfrm>
                            <a:prstGeom prst="rect">
                              <a:avLst/>
                            </a:prstGeom>
                            <a:solidFill>
                              <a:srgbClr val="00C0F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24" y="487"/>
                              <a:ext cx="2702" cy="2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" name="Shape 6"/>
                          <wps:spPr>
                            <a:xfrm>
                              <a:off x="2385" y="3418"/>
                              <a:ext cx="6975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511.999969482421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46"/>
                                    <w:vertAlign w:val="baseline"/>
                                  </w:rPr>
                                  <w:t xml:space="preserve">CHUO KIKUU CHA NAIROBI NAIROBI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511.999969482421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4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31f20"/>
                                    <w:sz w:val="46"/>
                                    <w:vertAlign w:val="baseline"/>
                                  </w:rPr>
                                  <w:t xml:space="preserve">fa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04" y="4530"/>
                              <a:ext cx="11189" cy="1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35.99998474121094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32"/>
                                    <w:vertAlign w:val="baseline"/>
                                  </w:rPr>
                                  <w:t xml:space="preserve">CHUO CHA SAYANSI YA TIBA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3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IDARA YA PATHOLOGI YA WATU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35.99998474121094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3"/>
                                    <w:vertAlign w:val="baseline"/>
                                  </w:rPr>
                                  <w:t xml:space="preserve">HATI YA UTOAJI HUDUMA KWA UMMA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7.99999952316284" w:line="240"/>
                                  <w:ind w:left="0" w:right="2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-209549</wp:posOffset>
                </wp:positionH>
                <wp:positionV relativeFrom="page">
                  <wp:posOffset>-400049</wp:posOffset>
                </wp:positionV>
                <wp:extent cx="7732395" cy="418846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2395" cy="4188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6.0" w:type="dxa"/>
        <w:jc w:val="left"/>
        <w:tblInd w:w="114.0" w:type="dxa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2226"/>
        <w:gridCol w:w="2160"/>
        <w:gridCol w:w="2610"/>
        <w:gridCol w:w="1350"/>
        <w:gridCol w:w="2520"/>
        <w:tblGridChange w:id="0">
          <w:tblGrid>
            <w:gridCol w:w="2226"/>
            <w:gridCol w:w="2160"/>
            <w:gridCol w:w="2610"/>
            <w:gridCol w:w="1350"/>
            <w:gridCol w:w="2520"/>
          </w:tblGrid>
        </w:tblGridChange>
      </w:tblGrid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MAMLAKA YA MSINGI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HUDUMA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MAHITAJI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6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KIPINDI CHA MATUKIO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tcBorders>
              <w:top w:color="000000" w:space="0" w:sz="0" w:val="nil"/>
              <w:left w:color="231f20" w:space="0" w:sz="4" w:val="single"/>
              <w:bottom w:color="000000" w:space="0" w:sz="0" w:val="nil"/>
              <w:right w:color="231f2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Uandikishaji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8" w:line="259" w:lineRule="auto"/>
              <w:ind w:left="104" w:right="156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Baraza la Seneti la Chuo Kikuu cha Mkutano liliidhinisha mahitaji ya chini ya uandikishaji</w:t>
            </w:r>
          </w:p>
        </w:tc>
        <w:tc>
          <w:tcPr>
            <w:tcBorders>
              <w:top w:color="000000" w:space="0" w:sz="0" w:val="nil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" w:line="259" w:lineRule="auto"/>
              <w:ind w:left="155" w:right="3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Utoaji wa barua ya kiingilio angalau mwezi mmoja (1) kabla ya tarehe ya kuripoti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231f20" w:space="0" w:sz="4" w:val="single"/>
              <w:bottom w:color="000000" w:space="0" w:sz="0" w:val="nil"/>
              <w:right w:color="231f2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KUFUNDISHA 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KUJIFUNZA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Kufundisha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59" w:lineRule="auto"/>
              <w:ind w:left="104" w:right="53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Malipo ya ada na usajili ulioagizwa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59" w:lineRule="auto"/>
              <w:ind w:left="0" w:right="7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Utoaji wa barua ya kiingilio angalau mwezi mmoja (1) kabla ya tarehe ya kuripoti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231f20" w:space="0" w:sz="4" w:val="single"/>
              <w:bottom w:color="000000" w:space="0" w:sz="0" w:val="nil"/>
              <w:right w:color="231f2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Mitihani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59" w:lineRule="auto"/>
              <w:ind w:left="104" w:right="53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Malipo ya ada na usajili ulioagizwa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59" w:lineRule="auto"/>
              <w:ind w:left="104" w:right="7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Kwa mujibu wa ratiba za mitihani zilizoidhinishwa na Seneti  </w:t>
            </w:r>
          </w:p>
        </w:tc>
      </w:tr>
      <w:tr>
        <w:trPr>
          <w:cantSplit w:val="0"/>
          <w:trHeight w:val="1353" w:hRule="atLeast"/>
          <w:tblHeader w:val="0"/>
        </w:trPr>
        <w:tc>
          <w:tcPr>
            <w:tcBorders>
              <w:top w:color="000000" w:space="0" w:sz="0" w:val="nil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Kuhitimu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59" w:lineRule="auto"/>
              <w:ind w:left="0" w:right="23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Cheti cha kibali, kukodisha mavazi ya kitaaluma na malipo ya ada iliyoagizwa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4" w:right="35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Septemba na Desemba kila mwaka</w:t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Merge w:val="restart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4" w:right="309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MASUALA YA WANAFUNZI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59" w:lineRule="auto"/>
              <w:ind w:left="108" w:right="12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Ushauri, ushauri na mwongozo wa kazi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59" w:lineRule="auto"/>
              <w:ind w:left="104" w:right="39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kanuni za Chuo Kikuu na Maadili ya Msingi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59" w:lineRule="auto"/>
              <w:ind w:left="104" w:right="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Ndani ya ratiba zilizoainishwa katika sera za Chuo Kikuu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vMerge w:val="continue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59" w:lineRule="auto"/>
              <w:ind w:left="108" w:right="106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Shughuli za mitaala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59" w:lineRule="auto"/>
              <w:ind w:left="104" w:right="41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Kujiunga na vilabu, jamii na miili ya kitaaluma ( KACP na AMELSTUN)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 ya wanafunzi iliyoagizwa kwa miili ya kitaaluma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Kila mwaka wa masomo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59" w:lineRule="auto"/>
              <w:ind w:left="108" w:right="78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Huduma za ustawi wa wanafunzi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Mwanafunzi aliyesajiliwa kikamilifu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59" w:lineRule="auto"/>
              <w:ind w:left="104" w:right="796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Kalenda iliyoidhinishwa na Seneti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" w:hRule="atLeast"/>
          <w:tblHeader w:val="0"/>
        </w:trPr>
        <w:tc>
          <w:tcPr>
            <w:vMerge w:val="restart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259" w:lineRule="auto"/>
              <w:ind w:left="104" w:right="30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UTAFITI, UVUMBUZI NA BIASHARA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8" w:right="7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Usimamizi wa miradi ya utafiti wa shahada ya kwanza na hizi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4" w:right="34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Uwasilishaji wa miradi ya utafiti na hizi na mwanafunzi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9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9" w:lineRule="auto"/>
              <w:ind w:left="104" w:right="23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Maoni kutoka kwa msimamizi kwa mwanafunzi yanapaswa kuwa ndani ya wiki mbili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vMerge w:val="continue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Innovation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59" w:lineRule="auto"/>
              <w:ind w:left="104" w:right="3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sheria na sera husika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Kalenda iliyoidhinishwa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vMerge w:val="continue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59" w:lineRule="auto"/>
              <w:ind w:left="108" w:right="66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Ushauri na Biashara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59" w:lineRule="auto"/>
              <w:ind w:left="104" w:right="3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sheria na sera husika Adherence to applicable laws and policies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Kalenda iliyoidhinishwa Approved calendar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vMerge w:val="restart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59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USIMAMIZI WA RASILIMALI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" w:right="59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Usimamizi wa Rasilimali Watu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59" w:lineRule="auto"/>
              <w:ind w:left="104" w:right="469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sera za kisheria, udhibiti na husika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4" w:right="796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Kalenda iliyoidhinishwa na Seneti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Merge w:val="continue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59" w:lineRule="auto"/>
              <w:ind w:left="108" w:right="20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Usimamizi wa vifaa vya kimwili na miundombinu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59" w:lineRule="auto"/>
              <w:ind w:left="104" w:right="46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sera za kisheria, udhibiti na husika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4" w:right="796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Kalenda iliyoidhinishwa na Seneti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vMerge w:val="continue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" w:right="39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Usimamizi wa rasilimali za fedha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59" w:lineRule="auto"/>
              <w:ind w:left="104" w:right="46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sera za kisheria, udhibiti na husika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59" w:lineRule="auto"/>
              <w:ind w:left="104" w:right="18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Kulingana na ratiba zilizoidhinishwa na kwa mujibu wa sera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vMerge w:val="restart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4" w:right="12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USHINDANI NA PICHA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Chapa ya Kampuni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59" w:lineRule="auto"/>
              <w:ind w:left="104" w:right="3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sheria na sera husika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Kalenda iliyoidhinishwa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vMerge w:val="continue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59" w:lineRule="auto"/>
              <w:ind w:left="108" w:right="60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Ushirikiano na viwanda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59" w:lineRule="auto"/>
              <w:ind w:left="104" w:right="3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sheria na sera husika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Kalenda iliyoidhinishwa</w:t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vMerge w:val="continue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59" w:lineRule="auto"/>
              <w:ind w:left="108" w:right="68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Dumisha Ushindani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59" w:lineRule="auto"/>
              <w:ind w:left="104" w:right="3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sheria na sera husika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Kalenda iliyoidhinishwa</w:t>
            </w:r>
          </w:p>
        </w:tc>
      </w:tr>
      <w:tr>
        <w:trPr>
          <w:cantSplit w:val="0"/>
          <w:trHeight w:val="1321" w:hRule="atLeast"/>
          <w:tblHeader w:val="0"/>
        </w:trPr>
        <w:tc>
          <w:tcPr>
            <w:vMerge w:val="restart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4" w:right="26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UTAWALA, UONGOZI NA UTAMADUNI</w:t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59" w:lineRule="auto"/>
              <w:ind w:left="108" w:right="67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Kukuza Utawala Bora wa Kampuni na Uongozi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4" w:right="46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miongozo ya kisheria, udhibiti na sera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9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9" w:line="240" w:lineRule="auto"/>
              <w:ind w:left="10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Kalenda iliyoidhinishwa</w:t>
            </w:r>
          </w:p>
        </w:tc>
      </w:tr>
      <w:tr>
        <w:trPr>
          <w:cantSplit w:val="0"/>
          <w:trHeight w:val="1187" w:hRule="atLeast"/>
          <w:tblHeader w:val="0"/>
        </w:trPr>
        <w:tc>
          <w:tcPr>
            <w:vMerge w:val="continue"/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00aeef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" w:right="48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Kuimarisha utamaduni mzuri wa taasisi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4" w:right="46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Kuzingatia miongozo ya kisheria, udhibiti na sera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  <w:shd w:fill="fffcd5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20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 MALIPO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000000" w:space="0" w:sz="0" w:val="nil"/>
            </w:tcBorders>
            <w:shd w:fill="b1e3fa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59" w:lineRule="auto"/>
              <w:ind w:left="104" w:right="18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Kulingana na ratiba zilizoidhinishwa na kwa mujibu wa sera na maadili ya msingi</w:t>
            </w:r>
          </w:p>
        </w:tc>
      </w:tr>
    </w:tbl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  <w:sectPr>
          <w:pgSz w:h="31660" w:w="12180" w:orient="portrait"/>
          <w:pgMar w:bottom="0" w:top="0" w:left="220" w:right="2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36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Malalamiko, pongezi na mapendekezo yanapaswa kupelekwa kwa: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36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Ofisi ya Mwenyekiti, Idara ya Patholojia ya Binadam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36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Kitivo cha Sayansi ya Afya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36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Chuo Kikuu cha Nairobi, KNH Campus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88" w:lineRule="auto"/>
        <w:ind w:left="336" w:right="12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Off Ngong Road, P. O. Box 19676 – 00202, Nairobi, Kenya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88" w:lineRule="auto"/>
        <w:ind w:left="336" w:right="12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Simu: Ofisi ya Mwenyekiti - +254204915048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     Barua Pepe:       dept-hpathology@uonbi.ac.ke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     Malalamiko:      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publiccomplaints@hpathology.uonbi.ac.ke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66675</wp:posOffset>
                </wp:positionH>
                <wp:positionV relativeFrom="page">
                  <wp:posOffset>19402424</wp:posOffset>
                </wp:positionV>
                <wp:extent cx="7732395" cy="90678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79803" y="3326610"/>
                          <a:ext cx="7732395" cy="906780"/>
                          <a:chOff x="1479803" y="3326610"/>
                          <a:chExt cx="7732395" cy="906780"/>
                        </a:xfrm>
                      </wpg:grpSpPr>
                      <wpg:grpSp>
                        <wpg:cNvGrpSpPr/>
                        <wpg:grpSpPr>
                          <a:xfrm>
                            <a:off x="1479803" y="3326610"/>
                            <a:ext cx="7732395" cy="906780"/>
                            <a:chOff x="0" y="30442"/>
                            <a:chExt cx="12177" cy="121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30442"/>
                              <a:ext cx="12175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30442"/>
                              <a:ext cx="12177" cy="1218"/>
                            </a:xfrm>
                            <a:prstGeom prst="rect">
                              <a:avLst/>
                            </a:prstGeom>
                            <a:solidFill>
                              <a:srgbClr val="00C0F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30442"/>
                              <a:ext cx="12177" cy="1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33.00000190734863" w:line="240"/>
                                  <w:ind w:left="515" w:right="0" w:firstLine="5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36"/>
                                    <w:highlight w:val="white"/>
                                    <w:vertAlign w:val="baseline"/>
                                  </w:rPr>
                                  <w:t xml:space="preserve">Kituo kinachojulikana kimataifa kilichojitolea kwa ubora katika kufundisha, utafiti na utoaji wa huduma za Patholojia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e1e1e"/>
                                    <w:sz w:val="23"/>
                                    <w:highlight w:val="white"/>
                                    <w:vertAlign w:val="baseline"/>
                                  </w:rPr>
                                  <w:t xml:space="preserve">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66675</wp:posOffset>
                </wp:positionH>
                <wp:positionV relativeFrom="page">
                  <wp:posOffset>19402424</wp:posOffset>
                </wp:positionV>
                <wp:extent cx="7732395" cy="90678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2395" cy="906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1"/>
        <w:spacing w:line="288" w:lineRule="auto"/>
        <w:ind w:right="1318" w:firstLine="336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Malalamiko pia yanaweza kuwasilishwa kwa </w:t>
      </w:r>
    </w:p>
    <w:p w:rsidR="00000000" w:rsidDel="00000000" w:rsidP="00000000" w:rsidRDefault="00000000" w:rsidRPr="00000000" w14:paraId="000000CF">
      <w:pPr>
        <w:pStyle w:val="Heading1"/>
        <w:spacing w:line="288" w:lineRule="auto"/>
        <w:ind w:right="1318" w:firstLine="336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Tume ya Haki ya Utawala, </w:t>
      </w:r>
    </w:p>
    <w:p w:rsidR="00000000" w:rsidDel="00000000" w:rsidP="00000000" w:rsidRDefault="00000000" w:rsidRPr="00000000" w14:paraId="000000D0">
      <w:pPr>
        <w:pStyle w:val="Heading1"/>
        <w:spacing w:line="288" w:lineRule="auto"/>
        <w:ind w:right="1318" w:firstLine="336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Ofisi ya Waziri Mkuu, kama ifuatavyo: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88" w:lineRule="auto"/>
        <w:ind w:left="336" w:right="20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Katibu Mkuu wa Tume / Afisa Mtendaji Mkuu,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88" w:lineRule="auto"/>
        <w:ind w:left="336" w:right="20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Tume ya Haki ya Utawala,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1346200</wp:posOffset>
                </wp:positionV>
                <wp:extent cx="0" cy="6350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62500"/>
                          <a:ext cx="0" cy="635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1346200</wp:posOffset>
                </wp:positionV>
                <wp:extent cx="0" cy="6350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36" w:right="20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West End Towers, 2nd Floor, Waiyaki Way,West lands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36" w:right="20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P. O. Box 20414-00200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336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Tel: +254 020 2270000 Nairobi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88" w:lineRule="auto"/>
        <w:ind w:left="336" w:right="1581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Toll free line: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0800 221349 SMS: 15700 E-mail: </w:t>
      </w:r>
      <w:hyperlink r:id="rId11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231f2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complain@ombudsman.go.ke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Website: </w:t>
      </w:r>
      <w:hyperlink r:id="rId12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231f2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www.ombudsman.go.ke</w:t>
        </w:r>
      </w:hyperlink>
      <w:r w:rsidDel="00000000" w:rsidR="00000000" w:rsidRPr="00000000">
        <w:rPr>
          <w:rtl w:val="0"/>
        </w:rPr>
      </w:r>
    </w:p>
    <w:sectPr>
      <w:type w:val="continuous"/>
      <w:pgSz w:h="31660" w:w="12180" w:orient="portrait"/>
      <w:pgMar w:bottom="0" w:top="0" w:left="220" w:right="220" w:header="720" w:footer="720"/>
      <w:cols w:equalWidth="0" w:num="2">
        <w:col w:space="222" w:w="5759"/>
        <w:col w:space="0" w:w="575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6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</w:pPr>
    <w:rPr>
      <w:rFonts w:ascii="Arial MT" w:cs="Arial MT" w:eastAsia="Arial MT" w:hAnsi="Arial MT"/>
      <w:sz w:val="22"/>
      <w:szCs w:val="22"/>
    </w:rPr>
  </w:style>
  <w:style w:type="paragraph" w:styleId="Heading1">
    <w:name w:val="heading 1"/>
    <w:basedOn w:val="Normal"/>
    <w:next w:val="Normal"/>
    <w:uiPriority w:val="1"/>
    <w:qFormat w:val="1"/>
    <w:pPr>
      <w:ind w:left="336"/>
      <w:outlineLvl w:val="0"/>
    </w:pPr>
    <w:rPr>
      <w:rFonts w:ascii="Arial" w:cs="Arial" w:eastAsia="Arial" w:hAnsi="Arial"/>
      <w:b w:val="1"/>
      <w:bCs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0"/>
      <w:szCs w:val="20"/>
    </w:rPr>
  </w:style>
  <w:style w:type="table" w:styleId="TableNormal1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unhideWhenUsed w:val="1"/>
    <w:rsid w:val="002D00ED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2D00E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2D00ED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mplain@ombudsman.go.ke" TargetMode="External"/><Relationship Id="rId10" Type="http://schemas.openxmlformats.org/officeDocument/2006/relationships/image" Target="media/image2.png"/><Relationship Id="rId12" Type="http://schemas.openxmlformats.org/officeDocument/2006/relationships/hyperlink" Target="http://www.ombudsman.go.ke/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2bE2AZdEQ8/RioUpYKKEBKtdg==">AMUW2mWIzVD83517JwulF3EJ+Yw9pwoEV/7jTDhWepIKagf294gqz9EgSNMKgZ/wtLfaXEJQFPDth7UZHtX0hnb3j6rMT0wqHuUhuFQcpTBMvoT2QltDcKnP3hJ5I2hn37ZSbIdxxJru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2022-07-05T15:03:00Z</dcterms:created>
  <dc:creator>EGRIC KSC042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2022-05-12T00:00:00Z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49577E378CDA456CBFE7CE2AA2E027FC</vt:lpwstr>
  </property>
</Properties>
</file>